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872" w:rsidRDefault="00121BFC">
      <w:r>
        <w:rPr>
          <w:noProof/>
        </w:rPr>
        <w:drawing>
          <wp:anchor distT="0" distB="0" distL="114300" distR="114300" simplePos="0" relativeHeight="251659264" behindDoc="0" locked="0" layoutInCell="1" allowOverlap="1" wp14:anchorId="440BF580">
            <wp:simplePos x="0" y="0"/>
            <wp:positionH relativeFrom="margin">
              <wp:align>left</wp:align>
            </wp:positionH>
            <wp:positionV relativeFrom="paragraph">
              <wp:posOffset>-688015</wp:posOffset>
            </wp:positionV>
            <wp:extent cx="2400300" cy="771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328A">
        <w:rPr>
          <w:noProof/>
        </w:rPr>
        <w:drawing>
          <wp:anchor distT="0" distB="0" distL="114300" distR="114300" simplePos="0" relativeHeight="251658240" behindDoc="0" locked="0" layoutInCell="1" allowOverlap="1" wp14:anchorId="03E622EC">
            <wp:simplePos x="0" y="0"/>
            <wp:positionH relativeFrom="margin">
              <wp:align>right</wp:align>
            </wp:positionH>
            <wp:positionV relativeFrom="paragraph">
              <wp:posOffset>-651820</wp:posOffset>
            </wp:positionV>
            <wp:extent cx="1800225" cy="754534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5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5F2" w:rsidRDefault="0031328A">
      <w:pPr>
        <w:rPr>
          <w:rFonts w:ascii="Arial" w:hAnsi="Arial" w:cs="Arial"/>
          <w:b/>
          <w:color w:val="FF0000"/>
        </w:rPr>
      </w:pPr>
      <w:r w:rsidRPr="0031328A">
        <w:rPr>
          <w:rFonts w:ascii="Arial" w:hAnsi="Arial" w:cs="Arial"/>
          <w:b/>
          <w:color w:val="FF0000"/>
        </w:rPr>
        <w:t>Regional Economic Development (RED) Grants – 2022 -23</w:t>
      </w:r>
    </w:p>
    <w:p w:rsidR="0031328A" w:rsidRDefault="0031328A">
      <w:pPr>
        <w:rPr>
          <w:rFonts w:ascii="Arial" w:hAnsi="Arial" w:cs="Arial"/>
        </w:rPr>
      </w:pPr>
      <w:r w:rsidRPr="0031328A">
        <w:rPr>
          <w:rFonts w:ascii="Arial" w:hAnsi="Arial" w:cs="Arial"/>
        </w:rPr>
        <w:t>The Goldfields</w:t>
      </w:r>
      <w:r>
        <w:rPr>
          <w:rFonts w:ascii="Arial" w:hAnsi="Arial" w:cs="Arial"/>
        </w:rPr>
        <w:t xml:space="preserve">-Esperance Development Commission (GEDC) received 27 RED Grant applications across the 2022-23 round. Applicants were seeking in excess of </w:t>
      </w:r>
      <w:r w:rsidRPr="00567162">
        <w:rPr>
          <w:rFonts w:ascii="Arial" w:hAnsi="Arial" w:cs="Arial"/>
        </w:rPr>
        <w:t>$</w:t>
      </w:r>
      <w:r w:rsidR="00E71F99" w:rsidRPr="00567162">
        <w:rPr>
          <w:rFonts w:ascii="Arial" w:hAnsi="Arial" w:cs="Arial"/>
        </w:rPr>
        <w:t>4</w:t>
      </w:r>
      <w:r w:rsidRPr="00567162">
        <w:rPr>
          <w:rFonts w:ascii="Arial" w:hAnsi="Arial" w:cs="Arial"/>
        </w:rPr>
        <w:t>.1 million</w:t>
      </w:r>
      <w:r>
        <w:rPr>
          <w:rFonts w:ascii="Arial" w:hAnsi="Arial" w:cs="Arial"/>
        </w:rPr>
        <w:t xml:space="preserve"> in funding to support projects to the total value of </w:t>
      </w:r>
      <w:r w:rsidR="006829B7" w:rsidRPr="00567162">
        <w:rPr>
          <w:rFonts w:ascii="Arial" w:hAnsi="Arial" w:cs="Arial"/>
        </w:rPr>
        <w:t>$</w:t>
      </w:r>
      <w:r w:rsidR="00567162" w:rsidRPr="00567162">
        <w:rPr>
          <w:rFonts w:ascii="Arial" w:hAnsi="Arial" w:cs="Arial"/>
        </w:rPr>
        <w:t>10.4 million.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503"/>
        <w:gridCol w:w="1508"/>
      </w:tblGrid>
      <w:tr w:rsidR="006829B7" w:rsidTr="003610CC">
        <w:tc>
          <w:tcPr>
            <w:tcW w:w="3005" w:type="dxa"/>
          </w:tcPr>
          <w:p w:rsidR="006829B7" w:rsidRPr="003610CC" w:rsidRDefault="006829B7">
            <w:pPr>
              <w:rPr>
                <w:rFonts w:ascii="Arial" w:hAnsi="Arial" w:cs="Arial"/>
                <w:b/>
              </w:rPr>
            </w:pPr>
            <w:r w:rsidRPr="003610CC">
              <w:rPr>
                <w:rFonts w:ascii="Arial" w:hAnsi="Arial" w:cs="Arial"/>
                <w:b/>
              </w:rPr>
              <w:t>Recipient name</w:t>
            </w:r>
          </w:p>
        </w:tc>
        <w:tc>
          <w:tcPr>
            <w:tcW w:w="4503" w:type="dxa"/>
          </w:tcPr>
          <w:p w:rsidR="006829B7" w:rsidRPr="003610CC" w:rsidRDefault="006829B7">
            <w:pPr>
              <w:rPr>
                <w:rFonts w:ascii="Arial" w:hAnsi="Arial" w:cs="Arial"/>
                <w:b/>
              </w:rPr>
            </w:pPr>
            <w:r w:rsidRPr="003610CC">
              <w:rPr>
                <w:rFonts w:ascii="Arial" w:hAnsi="Arial" w:cs="Arial"/>
                <w:b/>
              </w:rPr>
              <w:t>Project</w:t>
            </w:r>
          </w:p>
        </w:tc>
        <w:tc>
          <w:tcPr>
            <w:tcW w:w="1508" w:type="dxa"/>
          </w:tcPr>
          <w:p w:rsidR="006829B7" w:rsidRPr="003610CC" w:rsidRDefault="006829B7">
            <w:pPr>
              <w:rPr>
                <w:rFonts w:ascii="Arial" w:hAnsi="Arial" w:cs="Arial"/>
                <w:b/>
              </w:rPr>
            </w:pPr>
            <w:r w:rsidRPr="003610CC">
              <w:rPr>
                <w:rFonts w:ascii="Arial" w:hAnsi="Arial" w:cs="Arial"/>
                <w:b/>
              </w:rPr>
              <w:t>Amount</w:t>
            </w:r>
          </w:p>
        </w:tc>
      </w:tr>
      <w:tr w:rsidR="006829B7" w:rsidTr="003610CC">
        <w:tc>
          <w:tcPr>
            <w:tcW w:w="3005" w:type="dxa"/>
          </w:tcPr>
          <w:p w:rsidR="006829B7" w:rsidRDefault="003610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Judumul</w:t>
            </w:r>
            <w:proofErr w:type="spellEnd"/>
            <w:r>
              <w:rPr>
                <w:rFonts w:ascii="Arial" w:hAnsi="Arial" w:cs="Arial"/>
              </w:rPr>
              <w:t xml:space="preserve"> Advisory Aboriginal Corporation</w:t>
            </w:r>
          </w:p>
        </w:tc>
        <w:tc>
          <w:tcPr>
            <w:tcW w:w="4503" w:type="dxa"/>
          </w:tcPr>
          <w:p w:rsidR="006829B7" w:rsidRPr="003610CC" w:rsidRDefault="003610CC">
            <w:pPr>
              <w:rPr>
                <w:rFonts w:ascii="Arial" w:hAnsi="Arial" w:cs="Arial"/>
              </w:rPr>
            </w:pPr>
            <w:proofErr w:type="spellStart"/>
            <w:r w:rsidRPr="003610CC">
              <w:rPr>
                <w:rFonts w:ascii="Arial" w:hAnsi="Arial" w:cs="Arial"/>
                <w:i/>
                <w:shd w:val="clear" w:color="auto" w:fill="FFFFFF"/>
              </w:rPr>
              <w:t>Judumul</w:t>
            </w:r>
            <w:proofErr w:type="spellEnd"/>
            <w:r w:rsidRPr="003610CC">
              <w:rPr>
                <w:rFonts w:ascii="Arial" w:hAnsi="Arial" w:cs="Arial"/>
                <w:i/>
                <w:shd w:val="clear" w:color="auto" w:fill="FFFFFF"/>
              </w:rPr>
              <w:t xml:space="preserve"> Cultural Hub</w:t>
            </w:r>
            <w:r w:rsidRPr="003610CC">
              <w:rPr>
                <w:rFonts w:ascii="Arial" w:hAnsi="Arial" w:cs="Arial"/>
                <w:shd w:val="clear" w:color="auto" w:fill="FFFFFF"/>
              </w:rPr>
              <w:t xml:space="preserve">: funding will assist in the purchase of equipment to enable Aboriginal artists to design and create their own wearable art products for sale at the </w:t>
            </w:r>
            <w:proofErr w:type="spellStart"/>
            <w:r w:rsidRPr="003610CC">
              <w:rPr>
                <w:rFonts w:ascii="Arial" w:hAnsi="Arial" w:cs="Arial"/>
                <w:shd w:val="clear" w:color="auto" w:fill="FFFFFF"/>
              </w:rPr>
              <w:t>Judumul</w:t>
            </w:r>
            <w:proofErr w:type="spellEnd"/>
            <w:r w:rsidRPr="003610CC">
              <w:rPr>
                <w:rFonts w:ascii="Arial" w:hAnsi="Arial" w:cs="Arial"/>
                <w:shd w:val="clear" w:color="auto" w:fill="FFFFFF"/>
              </w:rPr>
              <w:t xml:space="preserve"> Cultural Hub in Coolgardie. The project will provide employment and training opportunities to local and surrounding artists.</w:t>
            </w:r>
          </w:p>
        </w:tc>
        <w:tc>
          <w:tcPr>
            <w:tcW w:w="1508" w:type="dxa"/>
          </w:tcPr>
          <w:p w:rsidR="006829B7" w:rsidRPr="003610CC" w:rsidRDefault="003610CC">
            <w:pPr>
              <w:rPr>
                <w:rFonts w:ascii="Arial" w:hAnsi="Arial" w:cs="Arial"/>
              </w:rPr>
            </w:pPr>
            <w:r w:rsidRPr="003610CC">
              <w:rPr>
                <w:rFonts w:ascii="Arial" w:hAnsi="Arial" w:cs="Arial"/>
                <w:shd w:val="clear" w:color="auto" w:fill="FFFFFF"/>
              </w:rPr>
              <w:t>$113,000</w:t>
            </w:r>
          </w:p>
        </w:tc>
      </w:tr>
      <w:tr w:rsidR="006829B7" w:rsidTr="003610CC">
        <w:tc>
          <w:tcPr>
            <w:tcW w:w="3005" w:type="dxa"/>
          </w:tcPr>
          <w:p w:rsidR="006829B7" w:rsidRDefault="00361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Mining Resources Pty Ltd</w:t>
            </w:r>
          </w:p>
        </w:tc>
        <w:tc>
          <w:tcPr>
            <w:tcW w:w="4503" w:type="dxa"/>
          </w:tcPr>
          <w:p w:rsidR="006829B7" w:rsidRPr="003610CC" w:rsidRDefault="003610CC">
            <w:pPr>
              <w:rPr>
                <w:rFonts w:ascii="Arial" w:hAnsi="Arial" w:cs="Arial"/>
              </w:rPr>
            </w:pPr>
            <w:r w:rsidRPr="003610CC">
              <w:rPr>
                <w:rFonts w:ascii="Arial" w:hAnsi="Arial" w:cs="Arial"/>
                <w:i/>
                <w:shd w:val="clear" w:color="auto" w:fill="FFFFFF"/>
              </w:rPr>
              <w:t>Core Processing Training Centre:</w:t>
            </w:r>
            <w:r w:rsidRPr="003610CC">
              <w:rPr>
                <w:rFonts w:ascii="Arial" w:hAnsi="Arial" w:cs="Arial"/>
                <w:shd w:val="clear" w:color="auto" w:fill="FFFFFF"/>
              </w:rPr>
              <w:t xml:space="preserve"> Development of a fit-for-purpose training and operating facility specialising in core processing and resource management. Trainees gain qualifications in safety, resource processing, or underground metalliferous mining, and receive industry-based experience. Funding will support the purchase of specialised core processing equipment and facility infrastructure to establish a new operating base for the business.</w:t>
            </w:r>
          </w:p>
        </w:tc>
        <w:tc>
          <w:tcPr>
            <w:tcW w:w="1508" w:type="dxa"/>
          </w:tcPr>
          <w:p w:rsidR="006829B7" w:rsidRPr="003610CC" w:rsidRDefault="003610CC">
            <w:pPr>
              <w:rPr>
                <w:rFonts w:ascii="Arial" w:hAnsi="Arial" w:cs="Arial"/>
              </w:rPr>
            </w:pPr>
            <w:r w:rsidRPr="003610CC">
              <w:rPr>
                <w:rFonts w:ascii="Arial" w:hAnsi="Arial" w:cs="Arial"/>
                <w:shd w:val="clear" w:color="auto" w:fill="FFFFFF"/>
              </w:rPr>
              <w:t>$140,000</w:t>
            </w:r>
          </w:p>
        </w:tc>
      </w:tr>
      <w:tr w:rsidR="006829B7" w:rsidTr="003610CC">
        <w:tc>
          <w:tcPr>
            <w:tcW w:w="3005" w:type="dxa"/>
          </w:tcPr>
          <w:p w:rsidR="006829B7" w:rsidRDefault="00361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Shire of Wiluna</w:t>
            </w:r>
          </w:p>
        </w:tc>
        <w:tc>
          <w:tcPr>
            <w:tcW w:w="4503" w:type="dxa"/>
          </w:tcPr>
          <w:p w:rsidR="006829B7" w:rsidRPr="003610CC" w:rsidRDefault="003610CC">
            <w:pPr>
              <w:rPr>
                <w:rFonts w:ascii="Arial" w:hAnsi="Arial" w:cs="Arial"/>
              </w:rPr>
            </w:pPr>
            <w:r w:rsidRPr="003610CC">
              <w:rPr>
                <w:rFonts w:ascii="Arial" w:hAnsi="Arial" w:cs="Arial"/>
                <w:i/>
                <w:shd w:val="clear" w:color="auto" w:fill="FFFFFF"/>
              </w:rPr>
              <w:t>Wiluna Caravan Park:</w:t>
            </w:r>
            <w:r w:rsidRPr="003610CC">
              <w:rPr>
                <w:rFonts w:ascii="Arial" w:hAnsi="Arial" w:cs="Arial"/>
                <w:shd w:val="clear" w:color="auto" w:fill="FFFFFF"/>
              </w:rPr>
              <w:t xml:space="preserve"> Funding will support a new Caravan Park with the installation of an amenities block and camp kitchen to compliment the first stage of the project, which includes caravan parking bays, roads, and turning points.</w:t>
            </w:r>
          </w:p>
        </w:tc>
        <w:tc>
          <w:tcPr>
            <w:tcW w:w="1508" w:type="dxa"/>
          </w:tcPr>
          <w:p w:rsidR="006829B7" w:rsidRPr="003610CC" w:rsidRDefault="003610CC">
            <w:pPr>
              <w:rPr>
                <w:rFonts w:ascii="Arial" w:hAnsi="Arial" w:cs="Arial"/>
              </w:rPr>
            </w:pPr>
            <w:r w:rsidRPr="003610CC">
              <w:rPr>
                <w:rFonts w:ascii="Arial" w:hAnsi="Arial" w:cs="Arial"/>
                <w:shd w:val="clear" w:color="auto" w:fill="FFFFFF"/>
              </w:rPr>
              <w:t>$200,000</w:t>
            </w:r>
          </w:p>
        </w:tc>
      </w:tr>
      <w:tr w:rsidR="006829B7" w:rsidTr="003610CC">
        <w:tc>
          <w:tcPr>
            <w:tcW w:w="3005" w:type="dxa"/>
          </w:tcPr>
          <w:p w:rsidR="006829B7" w:rsidRDefault="00361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Trustee for the Ned Baker Family Trust t/a Bread Local</w:t>
            </w:r>
          </w:p>
        </w:tc>
        <w:tc>
          <w:tcPr>
            <w:tcW w:w="4503" w:type="dxa"/>
          </w:tcPr>
          <w:p w:rsidR="006829B7" w:rsidRPr="003610CC" w:rsidRDefault="003610CC">
            <w:pPr>
              <w:rPr>
                <w:rFonts w:ascii="Arial" w:hAnsi="Arial" w:cs="Arial"/>
              </w:rPr>
            </w:pPr>
            <w:r w:rsidRPr="003610CC">
              <w:rPr>
                <w:rFonts w:ascii="Arial" w:hAnsi="Arial" w:cs="Arial"/>
                <w:i/>
                <w:shd w:val="clear" w:color="auto" w:fill="FFFFFF"/>
              </w:rPr>
              <w:t>Powering the Future of Bread Local:</w:t>
            </w:r>
            <w:r w:rsidRPr="003610CC">
              <w:rPr>
                <w:rFonts w:ascii="Arial" w:hAnsi="Arial" w:cs="Arial"/>
                <w:shd w:val="clear" w:color="auto" w:fill="FFFFFF"/>
              </w:rPr>
              <w:t xml:space="preserve"> Funding will support the expansion of this niche Esperance bakery. The project includes the installation of ablution facilities for a restaurant/café, a new commercial oven, and power upgrades which will enable increased production, extended trading hours, and growth in wholesale supply.</w:t>
            </w:r>
          </w:p>
        </w:tc>
        <w:tc>
          <w:tcPr>
            <w:tcW w:w="1508" w:type="dxa"/>
          </w:tcPr>
          <w:p w:rsidR="006829B7" w:rsidRPr="003610CC" w:rsidRDefault="003610CC">
            <w:pPr>
              <w:rPr>
                <w:rFonts w:ascii="Arial" w:hAnsi="Arial" w:cs="Arial"/>
              </w:rPr>
            </w:pPr>
            <w:r w:rsidRPr="003610CC">
              <w:rPr>
                <w:rFonts w:ascii="Arial" w:hAnsi="Arial" w:cs="Arial"/>
                <w:shd w:val="clear" w:color="auto" w:fill="FFFFFF"/>
              </w:rPr>
              <w:t>$129,000</w:t>
            </w:r>
          </w:p>
        </w:tc>
      </w:tr>
    </w:tbl>
    <w:p w:rsidR="003715F2" w:rsidRDefault="003715F2"/>
    <w:tbl>
      <w:tblPr>
        <w:tblStyle w:val="TableGrid"/>
        <w:tblW w:w="7513" w:type="dxa"/>
        <w:tblInd w:w="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3709"/>
      </w:tblGrid>
      <w:tr w:rsidR="003610CC" w:rsidRPr="003610CC" w:rsidTr="00121BFC">
        <w:tc>
          <w:tcPr>
            <w:tcW w:w="3804" w:type="dxa"/>
          </w:tcPr>
          <w:p w:rsidR="003610CC" w:rsidRPr="003610CC" w:rsidRDefault="003610CC">
            <w:pPr>
              <w:rPr>
                <w:rFonts w:ascii="Arial" w:hAnsi="Arial" w:cs="Arial"/>
                <w:b/>
                <w:sz w:val="20"/>
              </w:rPr>
            </w:pPr>
            <w:r w:rsidRPr="003610CC">
              <w:rPr>
                <w:rFonts w:ascii="Arial" w:hAnsi="Arial" w:cs="Arial"/>
                <w:b/>
                <w:sz w:val="20"/>
              </w:rPr>
              <w:t>Kalgoorlie-Boulder</w:t>
            </w:r>
          </w:p>
          <w:p w:rsidR="003610CC" w:rsidRPr="003610CC" w:rsidRDefault="003610CC">
            <w:pPr>
              <w:rPr>
                <w:rFonts w:ascii="Arial" w:hAnsi="Arial" w:cs="Arial"/>
                <w:sz w:val="20"/>
              </w:rPr>
            </w:pPr>
            <w:proofErr w:type="spellStart"/>
            <w:r w:rsidRPr="003610CC">
              <w:rPr>
                <w:rFonts w:ascii="Arial" w:hAnsi="Arial" w:cs="Arial"/>
                <w:sz w:val="20"/>
              </w:rPr>
              <w:t>Viskovich</w:t>
            </w:r>
            <w:proofErr w:type="spellEnd"/>
            <w:r w:rsidRPr="003610CC">
              <w:rPr>
                <w:rFonts w:ascii="Arial" w:hAnsi="Arial" w:cs="Arial"/>
                <w:sz w:val="20"/>
              </w:rPr>
              <w:t xml:space="preserve"> House</w:t>
            </w:r>
          </w:p>
          <w:p w:rsidR="003610CC" w:rsidRPr="003610CC" w:rsidRDefault="003610CC">
            <w:pPr>
              <w:rPr>
                <w:rFonts w:ascii="Arial" w:hAnsi="Arial" w:cs="Arial"/>
                <w:sz w:val="20"/>
              </w:rPr>
            </w:pPr>
            <w:r w:rsidRPr="003610CC">
              <w:rPr>
                <w:rFonts w:ascii="Arial" w:hAnsi="Arial" w:cs="Arial"/>
                <w:sz w:val="20"/>
              </w:rPr>
              <w:t>377 Hannan Street</w:t>
            </w:r>
          </w:p>
          <w:p w:rsidR="003610CC" w:rsidRPr="003610CC" w:rsidRDefault="003610CC">
            <w:pPr>
              <w:rPr>
                <w:rFonts w:ascii="Arial" w:hAnsi="Arial" w:cs="Arial"/>
                <w:sz w:val="20"/>
              </w:rPr>
            </w:pPr>
            <w:r w:rsidRPr="003610CC">
              <w:rPr>
                <w:rFonts w:ascii="Arial" w:hAnsi="Arial" w:cs="Arial"/>
                <w:sz w:val="20"/>
              </w:rPr>
              <w:t>PO Box 751, Kalgoorlie WA 6430</w:t>
            </w:r>
          </w:p>
          <w:p w:rsidR="003610CC" w:rsidRPr="003610CC" w:rsidRDefault="003610CC">
            <w:pPr>
              <w:rPr>
                <w:sz w:val="20"/>
              </w:rPr>
            </w:pPr>
            <w:r w:rsidRPr="003610CC">
              <w:rPr>
                <w:rFonts w:ascii="Arial" w:hAnsi="Arial" w:cs="Arial"/>
                <w:sz w:val="20"/>
              </w:rPr>
              <w:t>P:08 9080 5000</w:t>
            </w:r>
            <w:r w:rsidRPr="003610CC">
              <w:rPr>
                <w:rFonts w:ascii="Arial" w:hAnsi="Arial" w:cs="Arial"/>
                <w:sz w:val="20"/>
              </w:rPr>
              <w:br/>
              <w:t>F:08 9021 7941</w:t>
            </w:r>
          </w:p>
        </w:tc>
        <w:tc>
          <w:tcPr>
            <w:tcW w:w="3709" w:type="dxa"/>
          </w:tcPr>
          <w:p w:rsidR="003610CC" w:rsidRPr="003610CC" w:rsidRDefault="003610CC">
            <w:pPr>
              <w:rPr>
                <w:rFonts w:ascii="Arial" w:hAnsi="Arial" w:cs="Arial"/>
                <w:sz w:val="20"/>
              </w:rPr>
            </w:pPr>
            <w:r w:rsidRPr="003610CC">
              <w:rPr>
                <w:rFonts w:ascii="Arial" w:hAnsi="Arial" w:cs="Arial"/>
                <w:b/>
                <w:sz w:val="20"/>
              </w:rPr>
              <w:t>Esperance</w:t>
            </w:r>
            <w:r w:rsidRPr="003610CC">
              <w:rPr>
                <w:rFonts w:ascii="Arial" w:hAnsi="Arial" w:cs="Arial"/>
                <w:sz w:val="20"/>
              </w:rPr>
              <w:br/>
              <w:t xml:space="preserve">Suite 26c Dutton Arcade </w:t>
            </w:r>
            <w:r w:rsidRPr="003610CC">
              <w:rPr>
                <w:rFonts w:ascii="Arial" w:hAnsi="Arial" w:cs="Arial"/>
                <w:sz w:val="20"/>
              </w:rPr>
              <w:br/>
              <w:t xml:space="preserve">91 Dempster Street </w:t>
            </w:r>
            <w:r w:rsidRPr="003610CC">
              <w:rPr>
                <w:rFonts w:ascii="Arial" w:hAnsi="Arial" w:cs="Arial"/>
                <w:sz w:val="20"/>
              </w:rPr>
              <w:br/>
              <w:t>PO Box 632, Esperance WA 6450</w:t>
            </w:r>
            <w:r w:rsidRPr="003610CC">
              <w:rPr>
                <w:rFonts w:ascii="Arial" w:hAnsi="Arial" w:cs="Arial"/>
                <w:sz w:val="20"/>
              </w:rPr>
              <w:br/>
              <w:t>P: 08 9083 2222</w:t>
            </w:r>
            <w:r w:rsidRPr="003610CC">
              <w:rPr>
                <w:rFonts w:ascii="Arial" w:hAnsi="Arial" w:cs="Arial"/>
                <w:sz w:val="20"/>
              </w:rPr>
              <w:br/>
              <w:t>F: 08 9071 3765</w:t>
            </w:r>
          </w:p>
        </w:tc>
      </w:tr>
    </w:tbl>
    <w:p w:rsidR="003715F2" w:rsidRPr="00121BFC" w:rsidRDefault="003610CC" w:rsidP="00121BFC">
      <w:pPr>
        <w:jc w:val="center"/>
        <w:rPr>
          <w:rFonts w:ascii="Arial" w:hAnsi="Arial" w:cs="Arial"/>
        </w:rPr>
      </w:pPr>
      <w:r>
        <w:br/>
      </w:r>
      <w:hyperlink r:id="rId8" w:history="1">
        <w:r w:rsidRPr="00121BFC">
          <w:rPr>
            <w:rStyle w:val="Hyperlink"/>
            <w:rFonts w:ascii="Arial" w:hAnsi="Arial" w:cs="Arial"/>
            <w:color w:val="auto"/>
            <w:sz w:val="20"/>
            <w:u w:val="none"/>
          </w:rPr>
          <w:t>info@gedc.wa.gov.au</w:t>
        </w:r>
      </w:hyperlink>
      <w:r w:rsidRPr="00121BFC">
        <w:rPr>
          <w:rFonts w:ascii="Arial" w:hAnsi="Arial" w:cs="Arial"/>
          <w:sz w:val="20"/>
        </w:rPr>
        <w:br/>
      </w:r>
      <w:r w:rsidR="00121BFC" w:rsidRPr="00121BFC">
        <w:rPr>
          <w:rFonts w:ascii="Arial" w:hAnsi="Arial" w:cs="Arial"/>
          <w:sz w:val="20"/>
        </w:rPr>
        <w:t>ABN: 38 440 402 612</w:t>
      </w:r>
      <w:r w:rsidR="00121BFC">
        <w:rPr>
          <w:rFonts w:ascii="Arial" w:hAnsi="Arial" w:cs="Arial"/>
          <w:sz w:val="20"/>
        </w:rPr>
        <w:t xml:space="preserve"> / </w:t>
      </w:r>
      <w:r w:rsidR="00121BFC" w:rsidRPr="00121BFC">
        <w:rPr>
          <w:rFonts w:ascii="Arial" w:hAnsi="Arial" w:cs="Arial"/>
          <w:sz w:val="20"/>
        </w:rPr>
        <w:t>www.gedc.wa.gov.au</w:t>
      </w:r>
      <w:r w:rsidRPr="003610CC">
        <w:rPr>
          <w:rFonts w:ascii="Arial" w:hAnsi="Arial" w:cs="Arial"/>
        </w:rPr>
        <w:br/>
      </w:r>
    </w:p>
    <w:sectPr w:rsidR="003715F2" w:rsidRPr="00121BFC" w:rsidSect="003715F2">
      <w:pgSz w:w="11906" w:h="16838"/>
      <w:pgMar w:top="1440" w:right="1440" w:bottom="1440" w:left="144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99" w:rsidRDefault="00E71F99" w:rsidP="003715F2">
      <w:pPr>
        <w:spacing w:after="0" w:line="240" w:lineRule="auto"/>
      </w:pPr>
      <w:r>
        <w:separator/>
      </w:r>
    </w:p>
  </w:endnote>
  <w:endnote w:type="continuationSeparator" w:id="0">
    <w:p w:rsidR="00E71F99" w:rsidRDefault="00E71F99" w:rsidP="0037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99" w:rsidRDefault="00E71F99" w:rsidP="003715F2">
      <w:pPr>
        <w:spacing w:after="0" w:line="240" w:lineRule="auto"/>
      </w:pPr>
      <w:r>
        <w:separator/>
      </w:r>
    </w:p>
  </w:footnote>
  <w:footnote w:type="continuationSeparator" w:id="0">
    <w:p w:rsidR="00E71F99" w:rsidRDefault="00E71F99" w:rsidP="00371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F2"/>
    <w:rsid w:val="00121BFC"/>
    <w:rsid w:val="0031328A"/>
    <w:rsid w:val="003610CC"/>
    <w:rsid w:val="003715F2"/>
    <w:rsid w:val="00385872"/>
    <w:rsid w:val="00567162"/>
    <w:rsid w:val="006829B7"/>
    <w:rsid w:val="00E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F26B"/>
  <w15:chartTrackingRefBased/>
  <w15:docId w15:val="{911F8DC3-49C3-4591-ACED-56FED8A3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F2"/>
  </w:style>
  <w:style w:type="paragraph" w:styleId="Footer">
    <w:name w:val="footer"/>
    <w:basedOn w:val="Normal"/>
    <w:link w:val="FooterChar"/>
    <w:uiPriority w:val="99"/>
    <w:unhideWhenUsed/>
    <w:rsid w:val="00371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F2"/>
  </w:style>
  <w:style w:type="table" w:styleId="TableGrid">
    <w:name w:val="Table Grid"/>
    <w:basedOn w:val="TableNormal"/>
    <w:uiPriority w:val="39"/>
    <w:rsid w:val="0068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dc.wa.gov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Poh</dc:creator>
  <cp:keywords/>
  <dc:description/>
  <cp:lastModifiedBy>Lillian Poh</cp:lastModifiedBy>
  <cp:revision>2</cp:revision>
  <dcterms:created xsi:type="dcterms:W3CDTF">2022-11-04T01:16:00Z</dcterms:created>
  <dcterms:modified xsi:type="dcterms:W3CDTF">2022-11-04T02:20:00Z</dcterms:modified>
</cp:coreProperties>
</file>